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14400" cy="8001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114300</wp:posOffset>
                </wp:positionV>
                <wp:extent cx="3048000" cy="749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2000" y="3408525"/>
                          <a:ext cx="304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4594" w:rsidRDefault="00CF62FF">
                            <w:pPr>
                              <w:textDirection w:val="btLr"/>
                            </w:pPr>
                            <w:r>
                              <w:rPr>
                                <w:color w:val="333399"/>
                                <w:sz w:val="20"/>
                              </w:rPr>
                              <w:t>UNITED STATES DEPARTMENT OF COMMERCE</w:t>
                            </w:r>
                          </w:p>
                          <w:p w:rsidR="00414594" w:rsidRDefault="00CF62F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National Oceanic and Atmospheric Administration</w:t>
                            </w:r>
                          </w:p>
                          <w:p w:rsidR="00414594" w:rsidRDefault="00CF62FF">
                            <w:pPr>
                              <w:textDirection w:val="btLr"/>
                            </w:pPr>
                            <w:r>
                              <w:rPr>
                                <w:color w:val="333399"/>
                              </w:rPr>
                              <w:t>NATIONAL OCEAN SERVICE</w:t>
                            </w:r>
                          </w:p>
                          <w:p w:rsidR="00414594" w:rsidRDefault="00CF62FF">
                            <w:pPr>
                              <w:textDirection w:val="btLr"/>
                            </w:pPr>
                            <w:r>
                              <w:rPr>
                                <w:color w:val="333399"/>
                              </w:rPr>
                              <w:t>Silver Spring, Maryland 20910</w:t>
                            </w:r>
                          </w:p>
                          <w:p w:rsidR="00414594" w:rsidRDefault="0041459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5pt;margin-top:9pt;width:240pt;height:5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" stroked="f">
                <v:textbox inset="2.53958mm,1.2694mm,2.53958mm,1.2694mm">
                  <w:txbxContent>
                    <w:p w:rsidR="00414594" w:rsidRDefault="00CF62FF">
                      <w:pPr>
                        <w:textDirection w:val="btLr"/>
                      </w:pPr>
                      <w:r>
                        <w:rPr>
                          <w:color w:val="333399"/>
                          <w:sz w:val="20"/>
                        </w:rPr>
                        <w:t>UNITED STATES DEPARTMENT OF COMMERCE</w:t>
                      </w:r>
                    </w:p>
                    <w:p w:rsidR="00414594" w:rsidRDefault="00CF62FF">
                      <w:pPr>
                        <w:textDirection w:val="btLr"/>
                      </w:pPr>
                      <w:r>
                        <w:rPr>
                          <w:b/>
                          <w:color w:val="333399"/>
                          <w:sz w:val="20"/>
                        </w:rPr>
                        <w:t>National Oceanic and Atmospheric Administration</w:t>
                      </w:r>
                    </w:p>
                    <w:p w:rsidR="00414594" w:rsidRDefault="00CF62FF">
                      <w:pPr>
                        <w:textDirection w:val="btLr"/>
                      </w:pPr>
                      <w:r>
                        <w:rPr>
                          <w:color w:val="333399"/>
                        </w:rPr>
                        <w:t>NATIONAL OCEAN SERVICE</w:t>
                      </w:r>
                    </w:p>
                    <w:p w:rsidR="00414594" w:rsidRDefault="00CF62FF">
                      <w:pPr>
                        <w:textDirection w:val="btLr"/>
                      </w:pPr>
                      <w:r>
                        <w:rPr>
                          <w:color w:val="333399"/>
                        </w:rPr>
                        <w:t>Silver Spring, Maryland 20910</w:t>
                      </w:r>
                    </w:p>
                    <w:p w:rsidR="00414594" w:rsidRDefault="0041459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</w:pP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r>
        <w:t>MEMORANDUM FOR:</w:t>
      </w:r>
      <w:r>
        <w:tab/>
        <w:t>The Record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r>
        <w:t>FROM:</w:t>
      </w:r>
      <w:r>
        <w:tab/>
      </w:r>
      <w:r>
        <w:tab/>
      </w:r>
      <w:r>
        <w:tab/>
        <w:t>Mary Erickson</w:t>
      </w: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>Director, National Centers for Coastal Ocean Science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  <w:ind w:left="2880" w:hanging="2880"/>
      </w:pPr>
      <w:r>
        <w:t>SUBJECT:</w:t>
      </w:r>
      <w:r>
        <w:tab/>
        <w:t>Categorical Exclusion for Project # RASP15-42 “Defining abnormal events of oceanographic biological and physical properties in the Gulf of Mexico to identify data gaps”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 xml:space="preserve">NAO 216-6, Environmental Review Procedures, requires all proposed projects to </w:t>
      </w:r>
      <w:proofErr w:type="gramStart"/>
      <w:r>
        <w:t>be reviewed</w:t>
      </w:r>
      <w:proofErr w:type="gramEnd"/>
      <w:r>
        <w:t xml:space="preserve"> with respect to environmental consequences on the human environment. This memorandum addresses the determination that Project # RASP15-40, “Defining abnormal events o</w:t>
      </w:r>
      <w:r>
        <w:t xml:space="preserve">f oceanographic biological and physical properties in the Gulf of Mexico to identify data gaps,” qualifies to </w:t>
      </w:r>
      <w:proofErr w:type="gramStart"/>
      <w:r>
        <w:t>be categorically excluded</w:t>
      </w:r>
      <w:proofErr w:type="gramEnd"/>
      <w:r>
        <w:t xml:space="preserve"> from further National Environmental Policy Act review.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Project Description</w:t>
      </w: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  <w:r>
        <w:rPr>
          <w:sz w:val="23"/>
          <w:szCs w:val="23"/>
        </w:rPr>
        <w:t>The project</w:t>
      </w:r>
      <w:r>
        <w:rPr>
          <w:color w:val="00000A"/>
        </w:rPr>
        <w:t xml:space="preserve"> will characterize the temporal a</w:t>
      </w:r>
      <w:r>
        <w:rPr>
          <w:color w:val="00000A"/>
        </w:rPr>
        <w:t xml:space="preserve">nd spatial variability of physical and biochemical oceanographic parameters in the Gulf of Mexico for a 3 year </w:t>
      </w:r>
      <w:proofErr w:type="gramStart"/>
      <w:r>
        <w:rPr>
          <w:color w:val="00000A"/>
        </w:rPr>
        <w:t>time period</w:t>
      </w:r>
      <w:proofErr w:type="gramEnd"/>
      <w:r>
        <w:rPr>
          <w:color w:val="00000A"/>
        </w:rPr>
        <w:t>. The investigators</w:t>
      </w:r>
      <w:r>
        <w:rPr>
          <w:sz w:val="23"/>
          <w:szCs w:val="23"/>
        </w:rPr>
        <w:t xml:space="preserve"> </w:t>
      </w:r>
      <w:r>
        <w:rPr>
          <w:color w:val="00000A"/>
        </w:rPr>
        <w:t>will define event driven ecological active regions in the Gulf for both water quality and physical</w:t>
      </w:r>
      <w:r>
        <w:rPr>
          <w:sz w:val="23"/>
          <w:szCs w:val="23"/>
        </w:rPr>
        <w:t xml:space="preserve"> </w:t>
      </w:r>
      <w:r>
        <w:rPr>
          <w:color w:val="00000A"/>
        </w:rPr>
        <w:t>ocean parameter</w:t>
      </w:r>
      <w:r>
        <w:rPr>
          <w:color w:val="00000A"/>
        </w:rPr>
        <w:t xml:space="preserve">s and determine how these conditions </w:t>
      </w:r>
      <w:proofErr w:type="gramStart"/>
      <w:r>
        <w:rPr>
          <w:color w:val="00000A"/>
        </w:rPr>
        <w:t>can be used</w:t>
      </w:r>
      <w:proofErr w:type="gramEnd"/>
      <w:r>
        <w:rPr>
          <w:color w:val="00000A"/>
        </w:rPr>
        <w:t xml:space="preserve"> to identify data gaps for fisheries and coastal</w:t>
      </w:r>
      <w:r>
        <w:rPr>
          <w:sz w:val="23"/>
          <w:szCs w:val="23"/>
        </w:rPr>
        <w:t xml:space="preserve"> </w:t>
      </w:r>
      <w:r>
        <w:rPr>
          <w:color w:val="00000A"/>
        </w:rPr>
        <w:t>management.</w:t>
      </w:r>
      <w:r>
        <w:rPr>
          <w:sz w:val="23"/>
          <w:szCs w:val="23"/>
        </w:rPr>
        <w:t xml:space="preserve"> Specifically, </w:t>
      </w:r>
      <w:r>
        <w:rPr>
          <w:color w:val="00000A"/>
        </w:rPr>
        <w:t>the investigators will identify the regions in the Gulf where these parameters most often change on a weekly basis using</w:t>
      </w:r>
      <w:r>
        <w:rPr>
          <w:sz w:val="23"/>
          <w:szCs w:val="23"/>
        </w:rPr>
        <w:t xml:space="preserve"> </w:t>
      </w:r>
      <w:r>
        <w:rPr>
          <w:color w:val="00000A"/>
        </w:rPr>
        <w:t>satellite oc</w:t>
      </w:r>
      <w:r>
        <w:rPr>
          <w:color w:val="00000A"/>
        </w:rPr>
        <w:t>ean products and ocean circulation models. This will provide a decision support tool for</w:t>
      </w:r>
      <w:r>
        <w:rPr>
          <w:sz w:val="23"/>
          <w:szCs w:val="23"/>
        </w:rPr>
        <w:t xml:space="preserve"> </w:t>
      </w:r>
      <w:r>
        <w:rPr>
          <w:color w:val="00000A"/>
        </w:rPr>
        <w:t>identifying the locations and temporal gaps of present</w:t>
      </w:r>
      <w:r>
        <w:rPr>
          <w:i/>
          <w:color w:val="00000A"/>
        </w:rPr>
        <w:t xml:space="preserve"> </w:t>
      </w:r>
      <w:r>
        <w:rPr>
          <w:color w:val="00000A"/>
        </w:rPr>
        <w:t>oceanographic data collection. These active</w:t>
      </w:r>
      <w:r>
        <w:rPr>
          <w:sz w:val="23"/>
          <w:szCs w:val="23"/>
        </w:rPr>
        <w:t xml:space="preserve"> </w:t>
      </w:r>
      <w:r>
        <w:rPr>
          <w:color w:val="00000A"/>
        </w:rPr>
        <w:t>water quality and physical property products will identify ecologica</w:t>
      </w:r>
      <w:r>
        <w:rPr>
          <w:color w:val="00000A"/>
        </w:rPr>
        <w:t>l “hotspots” for the Northern</w:t>
      </w:r>
      <w:r>
        <w:rPr>
          <w:sz w:val="23"/>
          <w:szCs w:val="23"/>
        </w:rPr>
        <w:t xml:space="preserve"> </w:t>
      </w:r>
      <w:r>
        <w:rPr>
          <w:color w:val="00000A"/>
        </w:rPr>
        <w:t xml:space="preserve">Gulf of Mexico and </w:t>
      </w:r>
      <w:proofErr w:type="gramStart"/>
      <w:r>
        <w:rPr>
          <w:color w:val="00000A"/>
        </w:rPr>
        <w:t>can be effectively used</w:t>
      </w:r>
      <w:proofErr w:type="gramEnd"/>
      <w:r>
        <w:rPr>
          <w:color w:val="00000A"/>
        </w:rPr>
        <w:t xml:space="preserve"> as a method of adaptive sample collection by fisheries</w:t>
      </w:r>
      <w:r>
        <w:rPr>
          <w:sz w:val="23"/>
          <w:szCs w:val="23"/>
        </w:rPr>
        <w:t xml:space="preserve"> </w:t>
      </w:r>
      <w:r>
        <w:rPr>
          <w:color w:val="00000A"/>
        </w:rPr>
        <w:t>and coastal managers. The investigators will analyze ocean variability use existing data sets to identify the</w:t>
      </w:r>
      <w:r>
        <w:rPr>
          <w:sz w:val="23"/>
          <w:szCs w:val="23"/>
        </w:rPr>
        <w:t xml:space="preserve"> </w:t>
      </w:r>
      <w:r>
        <w:rPr>
          <w:color w:val="00000A"/>
        </w:rPr>
        <w:t>linkages between fish and nekton along sampling transects and the variability of water quality and</w:t>
      </w:r>
      <w:r>
        <w:rPr>
          <w:sz w:val="23"/>
          <w:szCs w:val="23"/>
        </w:rPr>
        <w:t xml:space="preserve"> </w:t>
      </w:r>
      <w:r>
        <w:rPr>
          <w:color w:val="00000A"/>
        </w:rPr>
        <w:t>physical events. This will enable monitoring activities to target future</w:t>
      </w:r>
      <w:r>
        <w:rPr>
          <w:sz w:val="23"/>
          <w:szCs w:val="23"/>
        </w:rPr>
        <w:t xml:space="preserve"> </w:t>
      </w:r>
      <w:r>
        <w:rPr>
          <w:color w:val="00000A"/>
        </w:rPr>
        <w:t>abnormal events or ecologically active events in the Gulf.</w:t>
      </w:r>
      <w:r>
        <w:rPr>
          <w:sz w:val="23"/>
          <w:szCs w:val="23"/>
        </w:rPr>
        <w:t xml:space="preserve"> In addition, </w:t>
      </w:r>
      <w:r>
        <w:rPr>
          <w:color w:val="00000A"/>
        </w:rPr>
        <w:t>active event</w:t>
      </w:r>
      <w:r>
        <w:rPr>
          <w:color w:val="00000A"/>
        </w:rPr>
        <w:t xml:space="preserve">s </w:t>
      </w:r>
      <w:proofErr w:type="gramStart"/>
      <w:r>
        <w:rPr>
          <w:color w:val="00000A"/>
        </w:rPr>
        <w:t>showcasing</w:t>
      </w:r>
      <w:proofErr w:type="gramEnd"/>
      <w:r>
        <w:rPr>
          <w:color w:val="00000A"/>
        </w:rPr>
        <w:t xml:space="preserve"> the</w:t>
      </w:r>
      <w:r>
        <w:rPr>
          <w:sz w:val="23"/>
          <w:szCs w:val="23"/>
        </w:rPr>
        <w:t xml:space="preserve"> </w:t>
      </w:r>
      <w:r>
        <w:rPr>
          <w:color w:val="00000A"/>
        </w:rPr>
        <w:t>ocean’s changing conditions will be combined with existing NOAA-Fisheries acoustic data to</w:t>
      </w:r>
      <w:r>
        <w:rPr>
          <w:sz w:val="23"/>
          <w:szCs w:val="23"/>
        </w:rPr>
        <w:t xml:space="preserve"> </w:t>
      </w:r>
      <w:r>
        <w:rPr>
          <w:color w:val="00000A"/>
        </w:rPr>
        <w:t xml:space="preserve">identify how the higher trophic layers of the ecosystem respond. The products and analyses generated by the investigators </w:t>
      </w:r>
      <w:proofErr w:type="gramStart"/>
      <w:r>
        <w:rPr>
          <w:color w:val="00000A"/>
        </w:rPr>
        <w:t>will be shared</w:t>
      </w:r>
      <w:proofErr w:type="gramEnd"/>
      <w:r>
        <w:rPr>
          <w:color w:val="00000A"/>
        </w:rPr>
        <w:t xml:space="preserve"> with fisher</w:t>
      </w:r>
      <w:r>
        <w:rPr>
          <w:color w:val="00000A"/>
        </w:rPr>
        <w:t xml:space="preserve">ies and coastal managers for use in decision making and establishing an observation network. </w:t>
      </w:r>
      <w:r>
        <w:t xml:space="preserve">The field data required for this project </w:t>
      </w:r>
      <w:proofErr w:type="gramStart"/>
      <w:r>
        <w:t>has already been collected</w:t>
      </w:r>
      <w:proofErr w:type="gramEnd"/>
      <w:r>
        <w:t xml:space="preserve">. The investigators’ activities (i.e., collecting satellite data products and ocean circulation </w:t>
      </w:r>
      <w:r>
        <w:t>model outputs and there analysis) will be conducted in an office environment.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Effects of the Project</w:t>
      </w: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There will be no </w:t>
      </w:r>
      <w:proofErr w:type="gramStart"/>
      <w:r>
        <w:t>field work</w:t>
      </w:r>
      <w:proofErr w:type="gramEnd"/>
      <w:r>
        <w:t xml:space="preserve"> conducted as part of this project. Thus, project actions will not result in cumulative environmental impacts.  In addition, th</w:t>
      </w:r>
      <w:r>
        <w:t xml:space="preserve">e proposed project does not involve air, noise, or water quality impacts; and does not otherwise have a significant impact on the human environment. No activities </w:t>
      </w:r>
      <w:proofErr w:type="gramStart"/>
      <w:r>
        <w:t>will be conducted</w:t>
      </w:r>
      <w:proofErr w:type="gramEnd"/>
      <w:r>
        <w:t xml:space="preserve"> in areas where children may congregate. These </w:t>
      </w:r>
      <w:r>
        <w:lastRenderedPageBreak/>
        <w:t>activities are not the subjec</w:t>
      </w:r>
      <w:r>
        <w:t>t of controversy based on potential environmental consequences and do not establish a precedent or decision in principle about future proposals.  There are no uncertain environmental impacts or unknown risks. As there are no field activities there is no im</w:t>
      </w:r>
      <w:r>
        <w:t>pact on geographically or ecologically critical areas, (sanctuaries, wetlands, watersheds</w:t>
      </w:r>
      <w:r>
        <w:rPr>
          <w:color w:val="000000"/>
        </w:rPr>
        <w:t xml:space="preserve">), National Historic Sites, and no </w:t>
      </w:r>
      <w:r>
        <w:t>adverse impacts to marine mammals, essential fish habitat or threatened and endangered species or their critical habitat.</w:t>
      </w:r>
    </w:p>
    <w:p w:rsidR="00414594" w:rsidRDefault="004145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Categoric</w:t>
      </w:r>
      <w:r>
        <w:rPr>
          <w:b/>
        </w:rPr>
        <w:t xml:space="preserve">al Exclusion Determination </w:t>
      </w:r>
    </w:p>
    <w:p w:rsidR="00414594" w:rsidRDefault="00CF62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defined in NAO 216-6, Section </w:t>
      </w:r>
      <w:proofErr w:type="gramStart"/>
      <w:r>
        <w:t>6.03c.3(</w:t>
      </w:r>
      <w:proofErr w:type="gramEnd"/>
      <w:r>
        <w:t xml:space="preserve">d), this is an applied research project which can be considered a routine NOAA program function with limited or short-term environmental consequences. As such, it </w:t>
      </w:r>
      <w:proofErr w:type="gramStart"/>
      <w:r>
        <w:t>can be categorically exc</w:t>
      </w:r>
      <w:r>
        <w:t>luded</w:t>
      </w:r>
      <w:proofErr w:type="gramEnd"/>
      <w:r>
        <w:t xml:space="preserve"> from the need to prepare an Environmental Assessment or Environmental Impact Statement.</w:t>
      </w:r>
    </w:p>
    <w:sectPr w:rsidR="00414594">
      <w:pgSz w:w="12240" w:h="15840"/>
      <w:pgMar w:top="720" w:right="1440" w:bottom="1440" w:left="144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4"/>
    <w:rsid w:val="00414594"/>
    <w:rsid w:val="00C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8597-022D-46E0-8340-5FD269C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Young</dc:creator>
  <cp:lastModifiedBy>Caitlin Young</cp:lastModifiedBy>
  <cp:revision>2</cp:revision>
  <dcterms:created xsi:type="dcterms:W3CDTF">2018-05-03T14:35:00Z</dcterms:created>
  <dcterms:modified xsi:type="dcterms:W3CDTF">2018-05-03T14:35:00Z</dcterms:modified>
</cp:coreProperties>
</file>